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Akademia Nauk Stosowanych Gospodarki Krajowej w Kutnie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Wydział Nauk o Zdrowiu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 xml:space="preserve">sylabus na kierunku ratownictwo medyczne </w:t>
      </w:r>
    </w:p>
    <w:p>
      <w:pPr>
        <w:pStyle w:val="Normal"/>
        <w:suppressAutoHyphens w:val="true"/>
        <w:spacing w:lineRule="auto" w:line="276" w:before="0" w:after="0"/>
        <w:jc w:val="center"/>
        <w:rPr/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rok akademicki 2025/2026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</w:r>
    </w:p>
    <w:tbl>
      <w:tblPr>
        <w:tblW w:w="11268" w:type="dxa"/>
        <w:jc w:val="left"/>
        <w:tblInd w:w="-935" w:type="dxa"/>
        <w:tblLayout w:type="fixed"/>
        <w:tblCellMar>
          <w:top w:w="0" w:type="dxa"/>
          <w:left w:w="92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960"/>
        <w:gridCol w:w="792"/>
        <w:gridCol w:w="911"/>
        <w:gridCol w:w="1020"/>
        <w:gridCol w:w="70"/>
        <w:gridCol w:w="674"/>
        <w:gridCol w:w="1202"/>
        <w:gridCol w:w="356"/>
        <w:gridCol w:w="1276"/>
        <w:gridCol w:w="245"/>
        <w:gridCol w:w="1171"/>
        <w:gridCol w:w="683"/>
        <w:gridCol w:w="25"/>
        <w:gridCol w:w="569"/>
        <w:gridCol w:w="1312"/>
      </w:tblGrid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12" w:space="0" w:color="00000A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7583" w:type="dxa"/>
            <w:gridSpan w:val="11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Intensywna terapia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758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758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Tryb studiów</w:t>
            </w:r>
          </w:p>
        </w:tc>
        <w:tc>
          <w:tcPr>
            <w:tcW w:w="758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niestacjonarne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758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praktyczny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758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nauki o zdrowiu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758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obowiązkowy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758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wykład, ćwiczenia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Poziom studiów, semestr</w:t>
            </w:r>
          </w:p>
        </w:tc>
        <w:tc>
          <w:tcPr>
            <w:tcW w:w="7583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studia I stopnia semestr IV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7583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moduł C nauki kliniczne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12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7583" w:type="dxa"/>
            <w:gridSpan w:val="11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budynek główny ANSGK</w:t>
            </w:r>
          </w:p>
        </w:tc>
      </w:tr>
      <w:tr>
        <w:trPr>
          <w:trHeight w:val="380" w:hRule="atLeast"/>
        </w:trPr>
        <w:tc>
          <w:tcPr>
            <w:tcW w:w="11266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>
        <w:trPr>
          <w:trHeight w:val="300" w:hRule="atLeast"/>
        </w:trPr>
        <w:tc>
          <w:tcPr>
            <w:tcW w:w="960" w:type="dxa"/>
            <w:tcBorders>
              <w:top w:val="single" w:sz="12" w:space="0" w:color="000000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  <w:tc>
          <w:tcPr>
            <w:tcW w:w="792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911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764" w:type="dxa"/>
            <w:gridSpan w:val="3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58" w:type="dxa"/>
            <w:gridSpan w:val="2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konwersatoria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416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7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12" w:type="dxa"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samo-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>
        <w:trPr>
          <w:trHeight w:val="373" w:hRule="atLeast"/>
        </w:trPr>
        <w:tc>
          <w:tcPr>
            <w:tcW w:w="960" w:type="dxa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sz w:val="20"/>
                <w:szCs w:val="20"/>
                <w:lang w:eastAsia="zh-CN"/>
              </w:rPr>
              <w:t>Godziny</w:t>
            </w:r>
          </w:p>
        </w:tc>
        <w:tc>
          <w:tcPr>
            <w:tcW w:w="792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911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764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  <w:tc>
          <w:tcPr>
            <w:tcW w:w="1312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</w:tr>
      <w:tr>
        <w:trPr>
          <w:trHeight w:val="373" w:hRule="atLeast"/>
        </w:trPr>
        <w:tc>
          <w:tcPr>
            <w:tcW w:w="960" w:type="dxa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92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911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764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312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603" w:type="dxa"/>
            <w:gridSpan w:val="12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Znajomość z zakresu anatomii i fizjologii.</w:t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603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Web"/>
              <w:spacing w:beforeAutospacing="0" w:before="0" w:afterAutospacing="0" w:after="0"/>
              <w:jc w:val="both"/>
              <w:rPr>
                <w:i/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Celem przedmiotu jest zapoznanie z zasadniczymi stanami zagrożenia życia wymagającymi intensywnej terapii, oraz znajomość podstawowych metod diagnostycznych i leczniczych.</w:t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603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Wykłady: wykład problemowy, wykład konwersatoryjny.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Ćwiczenia, pokaz z instruktażem, pokaz z objaśnieniem, praca w grupach, rozwiązywanie zadania, analiza przypadków klinicznych.</w:t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603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Wykłady, prezentacja multimedialna, programy multimedialne, sprzęt audiowizualny.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Ćwiczenia, prezentacja multimedialna, wyposażenie pracowni, fantomy.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19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restart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wiedzy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Absolwent zna i rozumie:</w:t>
            </w:r>
          </w:p>
        </w:tc>
        <w:tc>
          <w:tcPr>
            <w:tcW w:w="6697" w:type="dxa"/>
            <w:gridSpan w:val="9"/>
            <w:tcBorders>
              <w:top w:val="single" w:sz="12" w:space="0" w:color="000000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 xml:space="preserve">C.W17. mechanizmy prowadzące do </w:t>
            </w:r>
            <w:r>
              <w:rPr>
                <w:rFonts w:eastAsia="SimSun" w:cs="Times New Roman" w:ascii="Times New Roman" w:hAnsi="Times New Roman"/>
                <w:color w:val="111111"/>
                <w:kern w:val="2"/>
                <w:sz w:val="20"/>
                <w:szCs w:val="20"/>
                <w:lang w:eastAsia="zh-CN"/>
              </w:rPr>
              <w:t>stanów nagłego zagrożenia zdrowotnego</w:t>
            </w:r>
          </w:p>
        </w:tc>
        <w:tc>
          <w:tcPr>
            <w:tcW w:w="1906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Autospacing="1" w:after="0"/>
              <w:rPr/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  <w:t xml:space="preserve">Egzamin pisemny, test,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aktywność w trakcie zajęć,</w:t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/>
            </w:r>
          </w:p>
        </w:tc>
        <w:tc>
          <w:tcPr>
            <w:tcW w:w="6697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C.W19. metody ograniczania bólu, ze szczególnym uwzględnieniem farmakoterapii dzieci</w:t>
            </w:r>
          </w:p>
        </w:tc>
        <w:tc>
          <w:tcPr>
            <w:tcW w:w="190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Autospacing="1" w:after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/>
            </w:r>
          </w:p>
        </w:tc>
        <w:tc>
          <w:tcPr>
            <w:tcW w:w="6697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C.W20. skale oceny bólu i możliwości wdrożenia leczenia przeciwbólowego przez ratownika medycznego;</w:t>
            </w:r>
          </w:p>
        </w:tc>
        <w:tc>
          <w:tcPr>
            <w:tcW w:w="190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Autospacing="1" w:after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C.W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>66 wybrane skale oceny śpiączki oraz skale urazowe i rokownicze;</w:t>
            </w:r>
          </w:p>
        </w:tc>
        <w:tc>
          <w:tcPr>
            <w:tcW w:w="190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374" w:hRule="atLeast"/>
        </w:trPr>
        <w:tc>
          <w:tcPr>
            <w:tcW w:w="2663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C.W69 wskazania do stosowania intensywnej terapii i zasady jej stosowania;</w:t>
            </w:r>
          </w:p>
        </w:tc>
        <w:tc>
          <w:tcPr>
            <w:tcW w:w="190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374" w:hRule="atLeast"/>
        </w:trPr>
        <w:tc>
          <w:tcPr>
            <w:tcW w:w="2663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C.W72 technikę oznaczania stężeń parametrów krytycznych;</w:t>
            </w:r>
          </w:p>
        </w:tc>
        <w:tc>
          <w:tcPr>
            <w:tcW w:w="190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C.W80 rodzaje terapii inwazyjnej stosowane w SOR;</w:t>
            </w:r>
          </w:p>
        </w:tc>
        <w:tc>
          <w:tcPr>
            <w:tcW w:w="190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C.W83 procedury specjalistyczne w stanach nagłych pochodzenia wewnętrznego, w szczególności takie jak: elektrostymulacja, kardiowersja, pierwotna przezskórna interwencja wieńcowa (Percutaneouscoronary intervention, PCI), kontrapulsacja wewnątrzaortalna (Intra-aortic balloon pump, IABP), dializa, sztuczna wentylacja i formy krążenia pozaustrojowego;</w:t>
            </w:r>
          </w:p>
        </w:tc>
        <w:tc>
          <w:tcPr>
            <w:tcW w:w="190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C.W89 zaburzenia równowagi kwasowo-zasadowej i wodno-elektrolitowej oraz zasady postępowania przedszpitalnego i w SOR w takich zaburzeniach;</w:t>
            </w:r>
          </w:p>
        </w:tc>
        <w:tc>
          <w:tcPr>
            <w:tcW w:w="190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C.W91 zasady monitorowania stanu pacjenta w SOR;</w:t>
            </w:r>
          </w:p>
        </w:tc>
        <w:tc>
          <w:tcPr>
            <w:tcW w:w="190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C.W97 zasady cewnikowania pęcherza moczowego;</w:t>
            </w:r>
          </w:p>
        </w:tc>
        <w:tc>
          <w:tcPr>
            <w:tcW w:w="190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C.W104 zasady wysuwania podejrzenia i rozpoznawania śmierci mózgu;</w:t>
            </w:r>
          </w:p>
        </w:tc>
        <w:tc>
          <w:tcPr>
            <w:tcW w:w="190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111111"/>
                <w:sz w:val="20"/>
                <w:szCs w:val="20"/>
              </w:rPr>
              <w:t>C.W105 podstawowe techniki obrazowe;</w:t>
            </w:r>
          </w:p>
        </w:tc>
        <w:tc>
          <w:tcPr>
            <w:tcW w:w="190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111111"/>
                <w:sz w:val="20"/>
                <w:szCs w:val="20"/>
              </w:rPr>
              <w:t>C.W106 wskazania, przeciwwskazania i przygotowanie pacjentów do poszczególnych rodzajów badań obrazowych oraz przeciwwskazania do stosowania środków kontrastujących;</w:t>
            </w:r>
          </w:p>
        </w:tc>
        <w:tc>
          <w:tcPr>
            <w:tcW w:w="190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390" w:hRule="atLeast"/>
        </w:trPr>
        <w:tc>
          <w:tcPr>
            <w:tcW w:w="2663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/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umiejętności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Absolwent potrafi:</w:t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C.U1. ocenia stan pacjenta w celu ustalenia sposobu postępowania ratunkowego</w:t>
            </w:r>
          </w:p>
        </w:tc>
        <w:tc>
          <w:tcPr>
            <w:tcW w:w="1906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sprawdzian praktyczny</w:t>
            </w:r>
          </w:p>
        </w:tc>
      </w:tr>
      <w:tr>
        <w:trPr>
          <w:trHeight w:val="390" w:hRule="atLeast"/>
        </w:trPr>
        <w:tc>
          <w:tcPr>
            <w:tcW w:w="2663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/>
            </w:r>
          </w:p>
        </w:tc>
        <w:tc>
          <w:tcPr>
            <w:tcW w:w="6697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C.U7.przeprowadzać wywiad medyczny z pacjentem dorosłym w zakresie niezbędnym do podjęcia medycznych czynności ratunkowych;</w:t>
            </w:r>
          </w:p>
        </w:tc>
        <w:tc>
          <w:tcPr>
            <w:tcW w:w="190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390" w:hRule="atLeast"/>
        </w:trPr>
        <w:tc>
          <w:tcPr>
            <w:tcW w:w="2663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/>
            </w:r>
          </w:p>
        </w:tc>
        <w:tc>
          <w:tcPr>
            <w:tcW w:w="6697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C.U8. oceniać stan świadomości pacjenta</w:t>
            </w:r>
          </w:p>
        </w:tc>
        <w:tc>
          <w:tcPr>
            <w:tcW w:w="190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390" w:hRule="atLeast"/>
        </w:trPr>
        <w:tc>
          <w:tcPr>
            <w:tcW w:w="2663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/>
            </w:r>
          </w:p>
        </w:tc>
        <w:tc>
          <w:tcPr>
            <w:tcW w:w="6697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C.U11. monitorować czynność układu oddechowego z uwzględnieniem pulsoksymetrii, kapnometrii i kapnografii</w:t>
            </w:r>
          </w:p>
        </w:tc>
        <w:tc>
          <w:tcPr>
            <w:tcW w:w="190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390" w:hRule="atLeast"/>
        </w:trPr>
        <w:tc>
          <w:tcPr>
            <w:tcW w:w="2663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/>
            </w:r>
          </w:p>
        </w:tc>
        <w:tc>
          <w:tcPr>
            <w:tcW w:w="6697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C.U12. interpretować wyniki badań pacjenta z przewlekłą niewydolnością oddechową</w:t>
            </w:r>
          </w:p>
        </w:tc>
        <w:tc>
          <w:tcPr>
            <w:tcW w:w="190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390" w:hRule="atLeast"/>
        </w:trPr>
        <w:tc>
          <w:tcPr>
            <w:tcW w:w="2663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/>
            </w:r>
          </w:p>
        </w:tc>
        <w:tc>
          <w:tcPr>
            <w:tcW w:w="6697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C.U14. monitorować czynność układu krążenia metodami nieinwazyjnymi;</w:t>
            </w:r>
          </w:p>
        </w:tc>
        <w:tc>
          <w:tcPr>
            <w:tcW w:w="190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390" w:hRule="atLeast"/>
        </w:trPr>
        <w:tc>
          <w:tcPr>
            <w:tcW w:w="2663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/>
            </w:r>
          </w:p>
        </w:tc>
        <w:tc>
          <w:tcPr>
            <w:tcW w:w="6697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C.U16. przeprowadzić analizę ewentualnych działań niepożądanych poszczególnych produktów leczniczych oraz interakcji między nimi</w:t>
            </w:r>
          </w:p>
        </w:tc>
        <w:tc>
          <w:tcPr>
            <w:tcW w:w="190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390" w:hRule="atLeast"/>
        </w:trPr>
        <w:tc>
          <w:tcPr>
            <w:tcW w:w="2663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/>
            </w:r>
          </w:p>
        </w:tc>
        <w:tc>
          <w:tcPr>
            <w:tcW w:w="6697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111111"/>
                <w:sz w:val="20"/>
                <w:szCs w:val="20"/>
              </w:rPr>
              <w:t xml:space="preserve">C.U17. </w:t>
            </w:r>
            <w:r>
              <w:rPr>
                <w:rFonts w:eastAsia="SimSun" w:cs="Times New Roman" w:ascii="Times New Roman" w:hAnsi="Times New Roman"/>
                <w:color w:val="111111"/>
                <w:kern w:val="2"/>
                <w:sz w:val="20"/>
                <w:szCs w:val="20"/>
                <w:lang w:eastAsia="zh-CN"/>
              </w:rPr>
              <w:t>oceniać stan neurologiczny pacjenta</w:t>
            </w:r>
          </w:p>
        </w:tc>
        <w:tc>
          <w:tcPr>
            <w:tcW w:w="190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552" w:hRule="atLeast"/>
        </w:trPr>
        <w:tc>
          <w:tcPr>
            <w:tcW w:w="2663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111111"/>
                <w:sz w:val="20"/>
                <w:szCs w:val="20"/>
              </w:rPr>
              <w:t xml:space="preserve">C.U20. </w:t>
            </w:r>
            <w:r>
              <w:rPr>
                <w:rFonts w:eastAsia="Times New Roman" w:cs="Times New Roman" w:ascii="Times New Roman" w:hAnsi="Times New Roman"/>
                <w:color w:val="111111"/>
                <w:sz w:val="20"/>
                <w:szCs w:val="20"/>
                <w:lang w:eastAsia="pl-PL"/>
              </w:rPr>
              <w:t>podawać pacjentowi leki i płyny;</w:t>
            </w:r>
          </w:p>
        </w:tc>
        <w:tc>
          <w:tcPr>
            <w:tcW w:w="190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111111"/>
                <w:sz w:val="20"/>
                <w:szCs w:val="20"/>
                <w:lang w:eastAsia="pl-PL"/>
              </w:rPr>
              <w:t>C.U38 prowadzić podstawowe i zaawansowane czynności resuscytacyjne u osób dorosłych, dzieci, niemowląt i noworodków, z uwzględnieniem prawidłowego zastosowania urządzeń wspomagających resuscytację (urządzenia do kompresji klatki piersiowej, respiratora);</w:t>
            </w:r>
          </w:p>
        </w:tc>
        <w:tc>
          <w:tcPr>
            <w:tcW w:w="190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583" w:hRule="atLeast"/>
        </w:trPr>
        <w:tc>
          <w:tcPr>
            <w:tcW w:w="2663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111111"/>
                <w:sz w:val="20"/>
                <w:szCs w:val="20"/>
              </w:rPr>
              <w:t>C.U48 oceniać nagłe zagrożenia neurologiczne u pacjenta;</w:t>
            </w:r>
          </w:p>
        </w:tc>
        <w:tc>
          <w:tcPr>
            <w:tcW w:w="190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340" w:hRule="atLeast"/>
        </w:trPr>
        <w:tc>
          <w:tcPr>
            <w:tcW w:w="2663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C.U49 wykonywać dostęp doszpikowy przy użyciu gotowego zestawu;</w:t>
            </w:r>
          </w:p>
        </w:tc>
        <w:tc>
          <w:tcPr>
            <w:tcW w:w="190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111111"/>
                <w:sz w:val="20"/>
                <w:szCs w:val="20"/>
              </w:rPr>
              <w:t>C.U53 wdrażać odpowiednie postępowanie w odmie opłucnowej zagrażającej życiu;</w:t>
            </w:r>
          </w:p>
        </w:tc>
        <w:tc>
          <w:tcPr>
            <w:tcW w:w="190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tabs>
                <w:tab w:val="clear" w:pos="708"/>
                <w:tab w:val="left" w:pos="1020" w:leader="none"/>
              </w:tabs>
              <w:spacing w:lineRule="auto" w:line="240" w:before="0" w:after="0"/>
              <w:jc w:val="both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111111"/>
                <w:sz w:val="20"/>
                <w:szCs w:val="20"/>
              </w:rPr>
              <w:t>C.U56 decydować o niepodejmowaniu resuscytacji krążeniowo-oddechowej lub o odstąpieniu od jej przeprowadzenia;</w:t>
            </w:r>
          </w:p>
        </w:tc>
        <w:tc>
          <w:tcPr>
            <w:tcW w:w="190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tabs>
                <w:tab w:val="clear" w:pos="708"/>
                <w:tab w:val="left" w:pos="1020" w:leader="none"/>
              </w:tabs>
              <w:spacing w:lineRule="auto" w:line="240" w:before="0" w:after="0"/>
              <w:jc w:val="both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111111"/>
                <w:sz w:val="20"/>
                <w:szCs w:val="20"/>
              </w:rPr>
              <w:t>C.U57 rozpoznawać pewne znamiona śmierci;</w:t>
            </w:r>
          </w:p>
        </w:tc>
        <w:tc>
          <w:tcPr>
            <w:tcW w:w="190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tabs>
                <w:tab w:val="clear" w:pos="708"/>
                <w:tab w:val="left" w:pos="1020" w:leader="none"/>
              </w:tabs>
              <w:spacing w:lineRule="auto" w:line="240" w:before="0" w:after="0"/>
              <w:jc w:val="both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111111"/>
                <w:sz w:val="20"/>
                <w:szCs w:val="20"/>
              </w:rPr>
              <w:t>C.U67 monitorować stan pacjenta podczas badania obrazowego.</w:t>
            </w:r>
          </w:p>
        </w:tc>
        <w:tc>
          <w:tcPr>
            <w:tcW w:w="190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895" w:hRule="atLeast"/>
        </w:trPr>
        <w:tc>
          <w:tcPr>
            <w:tcW w:w="2663" w:type="dxa"/>
            <w:gridSpan w:val="3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kompetencji społecznych Absolwent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jest gotów do:</w:t>
            </w:r>
          </w:p>
        </w:tc>
        <w:tc>
          <w:tcPr>
            <w:tcW w:w="6697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111111"/>
                <w:sz w:val="20"/>
                <w:szCs w:val="20"/>
              </w:rPr>
              <w:t>K.6. kierowania się dobrem pacjenta;</w:t>
            </w:r>
          </w:p>
        </w:tc>
        <w:tc>
          <w:tcPr>
            <w:tcW w:w="1906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obserwacja przez opiekuna / nauczyciela prowadzącego</w:t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20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 standard kształcenia</w:t>
            </w:r>
          </w:p>
        </w:tc>
        <w:tc>
          <w:tcPr>
            <w:tcW w:w="8603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wiedzy: Egzamin ustny (niestandaryzowany, standaryzowany, tradycyjny, problemowy);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Egzamin pisemny — student generuje / rozpoznaje odpowiedź (esej, raport; krótkie strukturyzowane pytania, test wielokrotnego wyboru, test wielokrotnej odpowiedzi, test dopasowania;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umiejętności: Egzamin praktyczny, realizacja zleconego zadania, projekt, prezentacja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kompetencji społecznych: Esej refleksyjny, obserwacja przez prowadzącego, samoocena.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1906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>
        <w:trPr>
          <w:trHeight w:val="277" w:hRule="atLeast"/>
        </w:trPr>
        <w:tc>
          <w:tcPr>
            <w:tcW w:w="11266" w:type="dxa"/>
            <w:gridSpan w:val="15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Wykłady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i w:val="false"/>
                <w:iCs w:val="false"/>
                <w:sz w:val="20"/>
                <w:szCs w:val="20"/>
                <w:lang w:eastAsia="pl-PL"/>
              </w:rPr>
              <w:t>Ocena przedoperacyjna chorego i kwalifikacja do zabiegu.</w:t>
            </w:r>
          </w:p>
        </w:tc>
        <w:tc>
          <w:tcPr>
            <w:tcW w:w="190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pl-PL"/>
              </w:rPr>
              <w:t>Kaniulacja naczyń krwionośnych. Zasady postępowania z centralnym dostępem naczyniowym.</w:t>
            </w:r>
          </w:p>
        </w:tc>
        <w:tc>
          <w:tcPr>
            <w:tcW w:w="190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pl-PL"/>
              </w:rPr>
              <w:t>Znieczulenie miejscowe i przewodowe - techniki, stosowane leki, możliwości powikłań.</w:t>
            </w:r>
          </w:p>
        </w:tc>
        <w:tc>
          <w:tcPr>
            <w:tcW w:w="190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i w:val="false"/>
                <w:iCs w:val="false"/>
                <w:sz w:val="20"/>
                <w:szCs w:val="20"/>
                <w:lang w:eastAsia="pl-PL"/>
              </w:rPr>
              <w:t>Zasady leczenia bólu, stosowanych leków, technik znieczuleń miejscowych, blokad obwodowych.</w:t>
            </w:r>
          </w:p>
        </w:tc>
        <w:tc>
          <w:tcPr>
            <w:tcW w:w="1906" w:type="dxa"/>
            <w:gridSpan w:val="3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/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i w:val="false"/>
                <w:iCs w:val="false"/>
                <w:sz w:val="20"/>
                <w:szCs w:val="20"/>
                <w:lang w:eastAsia="pl-PL"/>
              </w:rPr>
              <w:t>Zasady wysuwania podejrzenia śmierci mózgu i jej rozpoznania.</w:t>
            </w:r>
          </w:p>
        </w:tc>
        <w:tc>
          <w:tcPr>
            <w:tcW w:w="1906" w:type="dxa"/>
            <w:gridSpan w:val="3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/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i w:val="false"/>
                <w:iCs w:val="false"/>
                <w:sz w:val="20"/>
                <w:szCs w:val="20"/>
                <w:lang w:eastAsia="pl-PL"/>
              </w:rPr>
              <w:t>Rozpoznawanie pewnych znamion śmierci i stwierdzanie zgonu pacjenta.</w:t>
            </w:r>
          </w:p>
        </w:tc>
        <w:tc>
          <w:tcPr>
            <w:tcW w:w="1906" w:type="dxa"/>
            <w:gridSpan w:val="3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/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rFonts w:ascii="Times New Roman" w:hAnsi="Times New Roman"/>
                <w:i w:val="false"/>
                <w:iCs w:val="false"/>
                <w:sz w:val="20"/>
                <w:szCs w:val="20"/>
              </w:rPr>
              <w:t>Najczęstsze schorzenia leczone na oddziale intensywnej terapii.</w:t>
            </w:r>
          </w:p>
        </w:tc>
        <w:tc>
          <w:tcPr>
            <w:tcW w:w="1906" w:type="dxa"/>
            <w:gridSpan w:val="3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/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rFonts w:ascii="Times New Roman" w:hAnsi="Times New Roman"/>
                <w:i w:val="false"/>
                <w:iCs w:val="false"/>
                <w:sz w:val="20"/>
                <w:szCs w:val="20"/>
              </w:rPr>
              <w:t>Nadzór nad chorym wymagającym intensywnej terapii.</w:t>
            </w:r>
          </w:p>
        </w:tc>
        <w:tc>
          <w:tcPr>
            <w:tcW w:w="1906" w:type="dxa"/>
            <w:gridSpan w:val="3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/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rFonts w:ascii="Times New Roman" w:hAnsi="Times New Roman"/>
                <w:i w:val="false"/>
                <w:iCs w:val="false"/>
                <w:sz w:val="20"/>
                <w:szCs w:val="20"/>
              </w:rPr>
              <w:t>Żywienie w intensywnej terapii.</w:t>
            </w:r>
          </w:p>
        </w:tc>
        <w:tc>
          <w:tcPr>
            <w:tcW w:w="1906" w:type="dxa"/>
            <w:gridSpan w:val="3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/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rFonts w:ascii="Times New Roman" w:hAnsi="Times New Roman"/>
                <w:i w:val="false"/>
                <w:iCs w:val="false"/>
                <w:sz w:val="20"/>
                <w:szCs w:val="20"/>
              </w:rPr>
              <w:t>Profilaktyka zakażeń w oddziale intensywnej terapii</w:t>
            </w:r>
          </w:p>
        </w:tc>
        <w:tc>
          <w:tcPr>
            <w:tcW w:w="1906" w:type="dxa"/>
            <w:gridSpan w:val="3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/>
              <w:t>2</w:t>
            </w:r>
          </w:p>
        </w:tc>
      </w:tr>
      <w:tr>
        <w:trPr>
          <w:trHeight w:val="277" w:hRule="atLeast"/>
        </w:trPr>
        <w:tc>
          <w:tcPr>
            <w:tcW w:w="11266" w:type="dxa"/>
            <w:gridSpan w:val="15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12" w:space="0" w:color="00000A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zh-CN"/>
              </w:rPr>
              <w:t>Wywiad anestezjologiczny i badanie chorego.</w:t>
            </w:r>
          </w:p>
        </w:tc>
        <w:tc>
          <w:tcPr>
            <w:tcW w:w="1906" w:type="dxa"/>
            <w:gridSpan w:val="3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zh-CN"/>
              </w:rPr>
              <w:t>Monitorowanie funkcji życiowych.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zh-CN"/>
              </w:rPr>
              <w:t>Kaniulacja naczyń krwionośnych obwodowych.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zh-CN"/>
              </w:rPr>
              <w:t>Przyrządowe zabezpieczenie oddechowe.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zh-CN"/>
              </w:rPr>
              <w:t>Nadzór nad chorym wymagającym intensywnej terapii.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zh-CN"/>
              </w:rPr>
              <w:t>Monitorowanie inwazyjne.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zh-CN"/>
              </w:rPr>
              <w:t>Wentylacja mechaniczna.</w:t>
            </w:r>
          </w:p>
        </w:tc>
        <w:tc>
          <w:tcPr>
            <w:tcW w:w="190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/>
              <w:t>3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zh-CN"/>
              </w:rPr>
              <w:t>Opieka nad sztucznymi drogami oddechowymi.</w:t>
            </w:r>
          </w:p>
        </w:tc>
        <w:tc>
          <w:tcPr>
            <w:tcW w:w="190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/>
              <w:t>3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zh-CN"/>
              </w:rPr>
              <w:t>Żywienie w intensywnej terapii.</w:t>
            </w:r>
          </w:p>
        </w:tc>
        <w:tc>
          <w:tcPr>
            <w:tcW w:w="190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/>
              <w:t>3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zh-CN"/>
              </w:rPr>
              <w:t>Profilaktyka zakażeń w oddziale intensywnej terapii.</w:t>
            </w:r>
          </w:p>
        </w:tc>
        <w:tc>
          <w:tcPr>
            <w:tcW w:w="190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/>
              <w:t>3</w:t>
            </w:r>
          </w:p>
        </w:tc>
      </w:tr>
      <w:tr>
        <w:trPr>
          <w:trHeight w:val="277" w:hRule="atLeast"/>
        </w:trPr>
        <w:tc>
          <w:tcPr>
            <w:tcW w:w="11266" w:type="dxa"/>
            <w:gridSpan w:val="1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>
        <w:trPr>
          <w:trHeight w:val="277" w:hRule="atLeast"/>
        </w:trPr>
        <w:tc>
          <w:tcPr>
            <w:tcW w:w="11266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Wykłady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egzamin pisemny/ustny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test,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uzyskanie ≥60% wymaganej punkt.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Ćwiczenia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zaliczenie z oceną,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kolokwium, wykonanie pracy zaliczeniowej, rozwiązanie zadania problemowego wg kryteriów,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80% obecności na zajęciach, uzyskanie ≥60% wymaganej punktacji za przewidziane formy weryfikacji efektów uczenia się, pozytywna postawa zawodowa.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>
        <w:trPr>
          <w:trHeight w:val="277" w:hRule="atLeast"/>
        </w:trPr>
        <w:tc>
          <w:tcPr>
            <w:tcW w:w="11266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>
        <w:trPr>
          <w:trHeight w:val="277" w:hRule="atLeast"/>
        </w:trPr>
        <w:tc>
          <w:tcPr>
            <w:tcW w:w="1752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2001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3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/dostateczny/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4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/dobry/</w:t>
            </w:r>
          </w:p>
        </w:tc>
        <w:tc>
          <w:tcPr>
            <w:tcW w:w="1879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4,5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81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5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/bardzo dobry/</w:t>
            </w:r>
          </w:p>
        </w:tc>
      </w:tr>
      <w:tr>
        <w:trPr>
          <w:trHeight w:val="277" w:hRule="atLeast"/>
        </w:trPr>
        <w:tc>
          <w:tcPr>
            <w:tcW w:w="1752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&gt;60%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2001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60% do &gt;70%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70% do &gt;75%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75% do &gt;85%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9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85% do &gt;90%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81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90% do &gt;100%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>
        <w:trPr>
          <w:trHeight w:val="277" w:hRule="atLeast"/>
        </w:trPr>
        <w:tc>
          <w:tcPr>
            <w:tcW w:w="1752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opanował podstawowej wiedzy i umiejętności związanych z przedmiotem,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potrafi wykorzystać zdobytych podstawowych informacji i wykazać się wiedzą i umiejętnościami;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wymagane efekty uczenia się, nie zostały osiągnięte.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prezentuje zaangażowania i zainteresowania przedmiotem</w:t>
            </w:r>
          </w:p>
        </w:tc>
        <w:tc>
          <w:tcPr>
            <w:tcW w:w="2001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niepełną podstawową wiedzę i umiejętności związane z przedmiotem,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ma duże trudności z wykorzystaniem zdobytych informacji,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opanował efekty uczenia się w stopniu dostatecznym.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podstawową wiedzę i umiejętności pozwalające na zrozumienie większości zagadnień z danego przedmiotu,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ma trudności z wykorzystaniem zdobytych informacji;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opanował efekty uczenia się w stopniu zadowalającym.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wykazuje poczucie odpowiedzialności za zdrowie i życie pacjentów, przejawia chęć doskonalenia zawodowego.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prawidłowo choć w sposób nieusystematyzowany prezentuje zdobytą wiedze i umiejętności, dostrzega błędy popełniane przy rozwiązywaniu określonego zadania; opanował efekty uczenia się w stopniu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wykazuje pełne poczucie odpowiedzialności za zdrowie i życie pacjentów, przejawia chęć ciągłego doskonalenia zawodowego.</w:t>
            </w:r>
          </w:p>
        </w:tc>
        <w:tc>
          <w:tcPr>
            <w:tcW w:w="1879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prezentuje prawidłowy zasób wiedzy, dostrzega i koryguje błędy popełniane przy rozwiązywaniu określonego zadania; efekty uczenia się  opanował na poziomie ponad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jest odpowiedzialny, sumienny, odczuwa potrzebę stałego doskonalenia zawodowego</w:t>
            </w:r>
          </w:p>
        </w:tc>
        <w:tc>
          <w:tcPr>
            <w:tcW w:w="1881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dysponuje pełną wiedzą i umiejętnościami przewidzianymi w programie kształcenia w zakresie treści dopełniających,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samodzielnie rozwiązuje problemy  i formułuje wnioski, potrafi prawidłowo argumentować                   i dowodzić swoich racji;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efekty uczenia się opanował na poziomie bardzo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jest zaangażowany w realizację przydzielonych zadań, odpowiedzialny, sumienny, odczuwa potrzebę stałego doskonalenia zawodowego.</w:t>
            </w:r>
          </w:p>
        </w:tc>
      </w:tr>
      <w:tr>
        <w:trPr>
          <w:trHeight w:val="277" w:hRule="atLeast"/>
        </w:trPr>
        <w:tc>
          <w:tcPr>
            <w:tcW w:w="11266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>
        <w:trPr>
          <w:trHeight w:val="277" w:hRule="atLeast"/>
        </w:trPr>
        <w:tc>
          <w:tcPr>
            <w:tcW w:w="11266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Default"/>
              <w:numPr>
                <w:ilvl w:val="3"/>
                <w:numId w:val="4"/>
              </w:numPr>
              <w:ind w:hanging="360" w:left="373"/>
              <w:jc w:val="both"/>
              <w:rPr/>
            </w:pPr>
            <w:r>
              <w:rPr>
                <w:rFonts w:cs="Times New Roman"/>
                <w:sz w:val="20"/>
                <w:szCs w:val="20"/>
              </w:rPr>
              <w:t>1 Wołowicka L., Dyk D.: Anestezjologia i intensywna opieka - klinika i pielęgniarstwo. Podręcznik dla studiów medycznych. PZWL, 2014</w:t>
            </w:r>
          </w:p>
          <w:p>
            <w:pPr>
              <w:pStyle w:val="Default"/>
              <w:numPr>
                <w:ilvl w:val="3"/>
                <w:numId w:val="4"/>
              </w:numPr>
              <w:ind w:hanging="360" w:left="373"/>
              <w:jc w:val="both"/>
              <w:rPr/>
            </w:pPr>
            <w:r>
              <w:rPr>
                <w:rFonts w:cs="Times New Roman"/>
                <w:sz w:val="20"/>
                <w:szCs w:val="20"/>
              </w:rPr>
              <w:t>Hryniewiecki T. Stany nagłe wydanie 3, Medical Tribune Polska, 2014</w:t>
            </w:r>
          </w:p>
          <w:p>
            <w:pPr>
              <w:pStyle w:val="Default"/>
              <w:numPr>
                <w:ilvl w:val="3"/>
                <w:numId w:val="4"/>
              </w:numPr>
              <w:ind w:hanging="360" w:left="373"/>
              <w:jc w:val="both"/>
              <w:rPr/>
            </w:pPr>
            <w:r>
              <w:rPr>
                <w:rFonts w:cs="Times New Roman"/>
                <w:sz w:val="20"/>
                <w:szCs w:val="20"/>
              </w:rPr>
              <w:t>Japp A.G.,Hennessey, A.; Gazometria krwi tętniczej - TO PROSTE. Elsevier Urban &amp; Partner, 2016</w:t>
            </w:r>
          </w:p>
          <w:p>
            <w:pPr>
              <w:pStyle w:val="Default"/>
              <w:numPr>
                <w:ilvl w:val="3"/>
                <w:numId w:val="4"/>
              </w:numPr>
              <w:ind w:hanging="360" w:left="373"/>
              <w:jc w:val="both"/>
              <w:rPr/>
            </w:pPr>
            <w:r>
              <w:rPr>
                <w:rFonts w:cs="Times New Roman"/>
                <w:sz w:val="20"/>
                <w:szCs w:val="20"/>
              </w:rPr>
              <w:t>Gaszyński W. , Intensywna terapia i medycyna ratunkowa, PZWL, 2016</w:t>
            </w:r>
          </w:p>
        </w:tc>
      </w:tr>
      <w:tr>
        <w:trPr>
          <w:trHeight w:val="277" w:hRule="atLeast"/>
        </w:trPr>
        <w:tc>
          <w:tcPr>
            <w:tcW w:w="11266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>
        <w:trPr>
          <w:trHeight w:val="277" w:hRule="atLeast"/>
        </w:trPr>
        <w:tc>
          <w:tcPr>
            <w:tcW w:w="11266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Default"/>
              <w:numPr>
                <w:ilvl w:val="0"/>
                <w:numId w:val="1"/>
              </w:numPr>
              <w:suppressAutoHyphens w:val="false"/>
              <w:ind w:hanging="360" w:left="373"/>
              <w:rPr>
                <w:rFonts w:cs="Times New Roman"/>
              </w:rPr>
            </w:pPr>
            <w:r>
              <w:rPr>
                <w:rFonts w:eastAsia="Calibri" w:cs="Times New Roman" w:eastAsiaTheme="minorHAnsi"/>
                <w:color w:val="auto"/>
                <w:sz w:val="20"/>
                <w:szCs w:val="20"/>
                <w:lang w:eastAsia="en-US"/>
              </w:rPr>
              <w:t>Intensywna Terapia Z. Rybicki- Intensywna Terapia Dorosłych, wyd. Makmed. Lublin, 2009.</w:t>
            </w:r>
          </w:p>
        </w:tc>
      </w:tr>
    </w:tbl>
    <w:p>
      <w:pPr>
        <w:pStyle w:val="Normal"/>
        <w:suppressAutoHyphens w:val="true"/>
        <w:spacing w:lineRule="auto" w:line="276" w:before="0" w:after="200"/>
        <w:rPr/>
      </w:pPr>
      <w:r>
        <w:rPr/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276" w:right="1417" w:gutter="0" w:header="0" w:top="719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roman"/>
    <w:pitch w:val="variable"/>
  </w:font>
  <w:font w:name="Times Roman">
    <w:altName w:val="Times New Roman"/>
    <w:charset w:val="ee"/>
    <w:family w:val="roman"/>
    <w:pitch w:val="variable"/>
  </w:font>
  <w:font w:name="Calibri Light">
    <w:charset w:val="ee"/>
    <w:family w:val="roman"/>
    <w:pitch w:val="variable"/>
  </w:font>
  <w:font w:name="Cambria">
    <w:charset w:val="ee"/>
    <w:family w:val="roman"/>
    <w:pitch w:val="variable"/>
  </w:font>
  <w:font w:name="Times New Roman">
    <w:charset w:val="ee"/>
    <w:family w:val="roman"/>
    <w:pitch w:val="variable"/>
  </w:font>
  <w:font w:name="Symbol">
    <w:charset w:val="ee"/>
    <w:family w:val="roman"/>
    <w:pitch w:val="variable"/>
  </w:font>
  <w:font w:name="Wingdings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Book Antiqua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false"/>
        <w:rFonts w:eastAsia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sz w:val="20"/>
        <w:szCs w:val="20"/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21c4d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Heading1">
    <w:name w:val="Heading 1"/>
    <w:basedOn w:val="Normal"/>
    <w:next w:val="Normal"/>
    <w:link w:val="Nagwek1Znak"/>
    <w:qFormat/>
    <w:rsid w:val="00746450"/>
    <w:pPr>
      <w:keepNext w:val="true"/>
      <w:suppressAutoHyphens w:val="true"/>
      <w:spacing w:lineRule="auto" w:line="240" w:before="240" w:after="60"/>
      <w:outlineLvl w:val="0"/>
    </w:pPr>
    <w:rPr>
      <w:rFonts w:ascii="Arial" w:hAnsi="Arial" w:eastAsia="Times New Roman" w:cs="Arial"/>
      <w:b/>
      <w:bCs/>
      <w:kern w:val="2"/>
      <w:sz w:val="32"/>
      <w:szCs w:val="32"/>
      <w:lang w:eastAsia="pl-PL"/>
    </w:rPr>
  </w:style>
  <w:style w:type="paragraph" w:styleId="Heading2">
    <w:name w:val="Heading 2"/>
    <w:basedOn w:val="Normal"/>
    <w:next w:val="Normal"/>
    <w:link w:val="Nagwek2Znak1"/>
    <w:uiPriority w:val="99"/>
    <w:qFormat/>
    <w:rsid w:val="00746450"/>
    <w:pPr>
      <w:keepNext w:val="true"/>
      <w:widowControl w:val="false"/>
      <w:tabs>
        <w:tab w:val="clear" w:pos="708"/>
        <w:tab w:val="left" w:pos="576" w:leader="none"/>
      </w:tabs>
      <w:spacing w:lineRule="auto" w:line="240" w:before="0" w:after="0"/>
      <w:ind w:hanging="576" w:left="576"/>
      <w:outlineLvl w:val="1"/>
    </w:pPr>
    <w:rPr>
      <w:rFonts w:ascii="Times Roman" w:hAnsi="Times Roman" w:eastAsia="Times New Roman" w:cs="Times New Roman"/>
      <w:b/>
      <w:sz w:val="40"/>
      <w:szCs w:val="20"/>
      <w:lang w:eastAsia="ar-SA"/>
    </w:rPr>
  </w:style>
  <w:style w:type="paragraph" w:styleId="Heading3">
    <w:name w:val="Heading 3"/>
    <w:basedOn w:val="Normal"/>
    <w:next w:val="Normal"/>
    <w:link w:val="Nagwek3Znak"/>
    <w:semiHidden/>
    <w:unhideWhenUsed/>
    <w:qFormat/>
    <w:rsid w:val="00746450"/>
    <w:pPr>
      <w:keepNext w:val="true"/>
      <w:suppressAutoHyphens w:val="true"/>
      <w:spacing w:lineRule="auto" w:line="276" w:before="240" w:after="60"/>
      <w:outlineLvl w:val="2"/>
    </w:pPr>
    <w:rPr>
      <w:rFonts w:ascii="Calibri Light" w:hAnsi="Calibri Light" w:eastAsia="" w:cs="" w:asciiTheme="majorHAnsi" w:cstheme="majorBidi" w:eastAsiaTheme="majorEastAsia" w:hAnsiTheme="majorHAnsi"/>
      <w:b/>
      <w:bCs/>
      <w:sz w:val="26"/>
      <w:szCs w:val="26"/>
      <w:lang w:eastAsia="zh-CN"/>
    </w:rPr>
  </w:style>
  <w:style w:type="paragraph" w:styleId="Heading4">
    <w:name w:val="Heading 4"/>
    <w:basedOn w:val="Normal"/>
    <w:next w:val="Normal"/>
    <w:link w:val="Nagwek4Znak"/>
    <w:qFormat/>
    <w:rsid w:val="00746450"/>
    <w:pPr>
      <w:keepNext w:val="true"/>
      <w:suppressAutoHyphens w:val="true"/>
      <w:spacing w:lineRule="auto" w:line="240" w:before="0" w:after="0"/>
      <w:outlineLvl w:val="3"/>
    </w:pPr>
    <w:rPr>
      <w:rFonts w:ascii="Calibri" w:hAnsi="Calibri" w:eastAsia="Arial Unicode MS" w:cs="Arial Unicode MS"/>
      <w:i/>
      <w:iCs/>
      <w:kern w:val="2"/>
      <w:sz w:val="24"/>
      <w:szCs w:val="24"/>
      <w:lang w:eastAsia="pl-PL"/>
    </w:rPr>
  </w:style>
  <w:style w:type="paragraph" w:styleId="Heading6">
    <w:name w:val="Heading 6"/>
    <w:basedOn w:val="Normal"/>
    <w:next w:val="Normal"/>
    <w:link w:val="Nagwek6Znak"/>
    <w:qFormat/>
    <w:rsid w:val="00746450"/>
    <w:pPr>
      <w:keepNext w:val="true"/>
      <w:suppressAutoHyphens w:val="true"/>
      <w:snapToGrid w:val="false"/>
      <w:spacing w:lineRule="auto" w:line="240" w:before="0" w:after="0"/>
      <w:outlineLvl w:val="5"/>
    </w:pPr>
    <w:rPr>
      <w:rFonts w:ascii="Calibri" w:hAnsi="Calibri" w:eastAsia="Arial Unicode MS" w:cs="Arial Unicode MS"/>
      <w:b/>
      <w:kern w:val="2"/>
      <w:sz w:val="24"/>
      <w:szCs w:val="24"/>
      <w:lang w:eastAsia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qFormat/>
    <w:rsid w:val="00746450"/>
    <w:rPr>
      <w:rFonts w:ascii="Arial" w:hAnsi="Arial" w:eastAsia="Times New Roman" w:cs="Arial"/>
      <w:b/>
      <w:bCs/>
      <w:kern w:val="2"/>
      <w:sz w:val="32"/>
      <w:szCs w:val="32"/>
      <w:lang w:eastAsia="pl-PL"/>
    </w:rPr>
  </w:style>
  <w:style w:type="character" w:styleId="Nagwek2Znak" w:customStyle="1">
    <w:name w:val="Nagłówek 2 Znak"/>
    <w:basedOn w:val="DefaultParagraphFont"/>
    <w:qFormat/>
    <w:rsid w:val="00746450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26"/>
      <w:szCs w:val="26"/>
    </w:rPr>
  </w:style>
  <w:style w:type="character" w:styleId="Nagwek3Znak" w:customStyle="1">
    <w:name w:val="Nagłówek 3 Znak"/>
    <w:basedOn w:val="DefaultParagraphFont"/>
    <w:semiHidden/>
    <w:qFormat/>
    <w:rsid w:val="00746450"/>
    <w:rPr>
      <w:rFonts w:ascii="Calibri Light" w:hAnsi="Calibri Light" w:eastAsia="" w:cs="" w:asciiTheme="majorHAnsi" w:cstheme="majorBidi" w:eastAsiaTheme="majorEastAsia" w:hAnsiTheme="majorHAnsi"/>
      <w:b/>
      <w:bCs/>
      <w:sz w:val="26"/>
      <w:szCs w:val="26"/>
      <w:lang w:eastAsia="zh-CN"/>
    </w:rPr>
  </w:style>
  <w:style w:type="character" w:styleId="Nagwek4Znak" w:customStyle="1">
    <w:name w:val="Nagłówek 4 Znak"/>
    <w:basedOn w:val="DefaultParagraphFont"/>
    <w:qFormat/>
    <w:rsid w:val="00746450"/>
    <w:rPr>
      <w:rFonts w:ascii="Calibri" w:hAnsi="Calibri" w:eastAsia="Arial Unicode MS" w:cs="Arial Unicode MS"/>
      <w:i/>
      <w:iCs/>
      <w:kern w:val="2"/>
      <w:sz w:val="24"/>
      <w:szCs w:val="24"/>
      <w:lang w:eastAsia="pl-PL"/>
    </w:rPr>
  </w:style>
  <w:style w:type="character" w:styleId="Nagwek6Znak" w:customStyle="1">
    <w:name w:val="Nagłówek 6 Znak"/>
    <w:basedOn w:val="DefaultParagraphFont"/>
    <w:qFormat/>
    <w:rsid w:val="00746450"/>
    <w:rPr>
      <w:rFonts w:ascii="Calibri" w:hAnsi="Calibri" w:eastAsia="Arial Unicode MS" w:cs="Arial Unicode MS"/>
      <w:b/>
      <w:kern w:val="2"/>
      <w:sz w:val="24"/>
      <w:szCs w:val="24"/>
      <w:lang w:eastAsia="pl-PL"/>
    </w:rPr>
  </w:style>
  <w:style w:type="character" w:styleId="Heading1Char" w:customStyle="1">
    <w:name w:val="Heading 1 Char"/>
    <w:uiPriority w:val="99"/>
    <w:qFormat/>
    <w:locked/>
    <w:rsid w:val="00746450"/>
    <w:rPr>
      <w:rFonts w:ascii="Cambria" w:hAnsi="Cambria" w:cs="Times New Roman"/>
      <w:b/>
      <w:bCs/>
      <w:kern w:val="2"/>
      <w:sz w:val="32"/>
      <w:szCs w:val="32"/>
      <w:lang w:eastAsia="zh-CN"/>
    </w:rPr>
  </w:style>
  <w:style w:type="character" w:styleId="Heading2Char" w:customStyle="1">
    <w:name w:val="Heading 2 Char"/>
    <w:uiPriority w:val="99"/>
    <w:semiHidden/>
    <w:qFormat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styleId="Heading4Char" w:customStyle="1">
    <w:name w:val="Heading 4 Char"/>
    <w:uiPriority w:val="99"/>
    <w:semiHidden/>
    <w:qFormat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styleId="Heading6Char" w:customStyle="1">
    <w:name w:val="Heading 6 Char"/>
    <w:uiPriority w:val="99"/>
    <w:semiHidden/>
    <w:qFormat/>
    <w:locked/>
    <w:rsid w:val="00746450"/>
    <w:rPr>
      <w:rFonts w:ascii="Calibri" w:hAnsi="Calibri" w:cs="Times New Roman"/>
      <w:b/>
      <w:bCs/>
      <w:lang w:eastAsia="zh-CN"/>
    </w:rPr>
  </w:style>
  <w:style w:type="character" w:styleId="annotationreference">
    <w:name w:val="annotation reference"/>
    <w:uiPriority w:val="99"/>
    <w:semiHidden/>
    <w:qFormat/>
    <w:rsid w:val="00746450"/>
    <w:rPr>
      <w:rFonts w:cs="Times New Roman"/>
      <w:sz w:val="16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PodpisZnak" w:customStyle="1">
    <w:name w:val="Podpis Znak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TekstkomentarzaZnak" w:customStyle="1">
    <w:name w:val="Tekst komentarza Znak"/>
    <w:basedOn w:val="DefaultParagraphFont"/>
    <w:uiPriority w:val="99"/>
    <w:semiHidden/>
    <w:qFormat/>
    <w:rsid w:val="00746450"/>
    <w:rPr>
      <w:rFonts w:ascii="Times New Roman" w:hAnsi="Times New Roman" w:eastAsia="SimSun" w:cs="Times New Roman"/>
      <w:sz w:val="20"/>
      <w:szCs w:val="20"/>
      <w:lang w:eastAsia="zh-CN"/>
    </w:rPr>
  </w:style>
  <w:style w:type="character" w:styleId="TematkomentarzaZnak" w:customStyle="1">
    <w:name w:val="Temat komentarza Znak"/>
    <w:basedOn w:val="TekstkomentarzaZnak"/>
    <w:uiPriority w:val="99"/>
    <w:semiHidden/>
    <w:qFormat/>
    <w:rsid w:val="00746450"/>
    <w:rPr>
      <w:rFonts w:ascii="Times New Roman" w:hAnsi="Times New Roman" w:eastAsia="SimSun" w:cs="Times New Roman"/>
      <w:b/>
      <w:sz w:val="20"/>
      <w:szCs w:val="20"/>
      <w:lang w:eastAsia="zh-CN"/>
    </w:rPr>
  </w:style>
  <w:style w:type="character" w:styleId="TekstdymkaZnak" w:customStyle="1">
    <w:name w:val="Tekst dymka Znak"/>
    <w:basedOn w:val="DefaultParagraphFont"/>
    <w:uiPriority w:val="99"/>
    <w:semiHidden/>
    <w:qFormat/>
    <w:rsid w:val="00746450"/>
    <w:rPr>
      <w:rFonts w:ascii="Times New Roman" w:hAnsi="Times New Roman" w:eastAsia="SimSun" w:cs="Times New Roman"/>
      <w:sz w:val="2"/>
      <w:szCs w:val="20"/>
      <w:lang w:eastAsia="zh-CN"/>
    </w:rPr>
  </w:style>
  <w:style w:type="character" w:styleId="StopkaZnak" w:customStyle="1">
    <w:name w:val="Stopka Znak"/>
    <w:basedOn w:val="DefaultParagraphFont"/>
    <w:uiPriority w:val="99"/>
    <w:qFormat/>
    <w:rsid w:val="00746450"/>
    <w:rPr/>
  </w:style>
  <w:style w:type="character" w:styleId="StopkaZnak1" w:customStyle="1">
    <w:name w:val="Stopka Znak1"/>
    <w:uiPriority w:val="99"/>
    <w:qFormat/>
    <w:locked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WW8Num2z0" w:customStyle="1">
    <w:name w:val="WW8Num2z0"/>
    <w:uiPriority w:val="99"/>
    <w:qFormat/>
    <w:rsid w:val="00746450"/>
    <w:rPr/>
  </w:style>
  <w:style w:type="character" w:styleId="WW8Num3z0" w:customStyle="1">
    <w:name w:val="WW8Num3z0"/>
    <w:uiPriority w:val="99"/>
    <w:qFormat/>
    <w:rsid w:val="00746450"/>
    <w:rPr>
      <w:rFonts w:ascii="Symbol" w:hAnsi="Symbol"/>
    </w:rPr>
  </w:style>
  <w:style w:type="character" w:styleId="WW8Num3z1" w:customStyle="1">
    <w:name w:val="WW8Num3z1"/>
    <w:uiPriority w:val="99"/>
    <w:qFormat/>
    <w:rsid w:val="00746450"/>
    <w:rPr/>
  </w:style>
  <w:style w:type="character" w:styleId="WW8Num4z0" w:customStyle="1">
    <w:name w:val="WW8Num4z0"/>
    <w:uiPriority w:val="99"/>
    <w:qFormat/>
    <w:rsid w:val="00746450"/>
    <w:rPr>
      <w:rFonts w:ascii="Symbol" w:hAnsi="Symbol"/>
    </w:rPr>
  </w:style>
  <w:style w:type="character" w:styleId="WW8Num5z0" w:customStyle="1">
    <w:name w:val="WW8Num5z0"/>
    <w:uiPriority w:val="99"/>
    <w:qFormat/>
    <w:rsid w:val="00746450"/>
    <w:rPr/>
  </w:style>
  <w:style w:type="character" w:styleId="WW8Num5z1" w:customStyle="1">
    <w:name w:val="WW8Num5z1"/>
    <w:uiPriority w:val="99"/>
    <w:qFormat/>
    <w:rsid w:val="00746450"/>
    <w:rPr/>
  </w:style>
  <w:style w:type="character" w:styleId="WW8Num6z0" w:customStyle="1">
    <w:name w:val="WW8Num6z0"/>
    <w:uiPriority w:val="99"/>
    <w:qFormat/>
    <w:rsid w:val="00746450"/>
    <w:rPr/>
  </w:style>
  <w:style w:type="character" w:styleId="Absatz-Standardschriftart" w:customStyle="1">
    <w:name w:val="Absatz-Standardschriftart"/>
    <w:uiPriority w:val="99"/>
    <w:qFormat/>
    <w:rsid w:val="00746450"/>
    <w:rPr/>
  </w:style>
  <w:style w:type="character" w:styleId="WW8Num1z0" w:customStyle="1">
    <w:name w:val="WW8Num1z0"/>
    <w:uiPriority w:val="99"/>
    <w:qFormat/>
    <w:rsid w:val="00746450"/>
    <w:rPr/>
  </w:style>
  <w:style w:type="character" w:styleId="WW8Num4z1" w:customStyle="1">
    <w:name w:val="WW8Num4z1"/>
    <w:uiPriority w:val="99"/>
    <w:qFormat/>
    <w:rsid w:val="00746450"/>
    <w:rPr/>
  </w:style>
  <w:style w:type="character" w:styleId="WW8Num7z0" w:customStyle="1">
    <w:name w:val="WW8Num7z0"/>
    <w:uiPriority w:val="99"/>
    <w:qFormat/>
    <w:rsid w:val="00746450"/>
    <w:rPr>
      <w:rFonts w:ascii="Times New Roman" w:hAnsi="Times New Roman" w:eastAsia="SimSun"/>
    </w:rPr>
  </w:style>
  <w:style w:type="character" w:styleId="WW8Num7z1" w:customStyle="1">
    <w:name w:val="WW8Num7z1"/>
    <w:uiPriority w:val="99"/>
    <w:qFormat/>
    <w:rsid w:val="00746450"/>
    <w:rPr/>
  </w:style>
  <w:style w:type="character" w:styleId="WW8Num8z0" w:customStyle="1">
    <w:name w:val="WW8Num8z0"/>
    <w:uiPriority w:val="99"/>
    <w:qFormat/>
    <w:rsid w:val="00746450"/>
    <w:rPr>
      <w:rFonts w:ascii="Symbol" w:hAnsi="Symbol"/>
    </w:rPr>
  </w:style>
  <w:style w:type="character" w:styleId="WW8Num8z1" w:customStyle="1">
    <w:name w:val="WW8Num8z1"/>
    <w:uiPriority w:val="99"/>
    <w:qFormat/>
    <w:rsid w:val="00746450"/>
    <w:rPr/>
  </w:style>
  <w:style w:type="character" w:styleId="WW8Num9z0" w:customStyle="1">
    <w:name w:val="WW8Num9z0"/>
    <w:uiPriority w:val="99"/>
    <w:qFormat/>
    <w:rsid w:val="00746450"/>
    <w:rPr/>
  </w:style>
  <w:style w:type="character" w:styleId="WW8Num11z0" w:customStyle="1">
    <w:name w:val="WW8Num11z0"/>
    <w:uiPriority w:val="99"/>
    <w:qFormat/>
    <w:rsid w:val="00746450"/>
    <w:rPr>
      <w:rFonts w:ascii="Symbol" w:hAnsi="Symbol"/>
    </w:rPr>
  </w:style>
  <w:style w:type="character" w:styleId="WW8Num11z1" w:customStyle="1">
    <w:name w:val="WW8Num11z1"/>
    <w:uiPriority w:val="99"/>
    <w:qFormat/>
    <w:rsid w:val="00746450"/>
    <w:rPr/>
  </w:style>
  <w:style w:type="character" w:styleId="WW8Num12z0" w:customStyle="1">
    <w:name w:val="WW8Num12z0"/>
    <w:uiPriority w:val="99"/>
    <w:qFormat/>
    <w:rsid w:val="00746450"/>
    <w:rPr/>
  </w:style>
  <w:style w:type="character" w:styleId="WW8Num13z0" w:customStyle="1">
    <w:name w:val="WW8Num13z0"/>
    <w:uiPriority w:val="99"/>
    <w:qFormat/>
    <w:rsid w:val="00746450"/>
    <w:rPr>
      <w:rFonts w:ascii="Wingdings" w:hAnsi="Wingdings"/>
    </w:rPr>
  </w:style>
  <w:style w:type="character" w:styleId="WW8Num14z0" w:customStyle="1">
    <w:name w:val="WW8Num14z0"/>
    <w:uiPriority w:val="99"/>
    <w:qFormat/>
    <w:rsid w:val="00746450"/>
    <w:rPr>
      <w:i/>
      <w:color w:val="000080"/>
      <w:sz w:val="20"/>
    </w:rPr>
  </w:style>
  <w:style w:type="character" w:styleId="WW8Num14z1" w:customStyle="1">
    <w:name w:val="WW8Num14z1"/>
    <w:uiPriority w:val="99"/>
    <w:qFormat/>
    <w:rsid w:val="00746450"/>
    <w:rPr/>
  </w:style>
  <w:style w:type="character" w:styleId="WW8Num15z0" w:customStyle="1">
    <w:name w:val="WW8Num15z0"/>
    <w:uiPriority w:val="99"/>
    <w:qFormat/>
    <w:rsid w:val="00746450"/>
    <w:rPr>
      <w:rFonts w:ascii="Wingdings" w:hAnsi="Wingdings"/>
    </w:rPr>
  </w:style>
  <w:style w:type="character" w:styleId="WW8Num16z0" w:customStyle="1">
    <w:name w:val="WW8Num16z0"/>
    <w:uiPriority w:val="99"/>
    <w:qFormat/>
    <w:rsid w:val="00746450"/>
    <w:rPr/>
  </w:style>
  <w:style w:type="character" w:styleId="WW8Num17z0" w:customStyle="1">
    <w:name w:val="WW8Num17z0"/>
    <w:uiPriority w:val="99"/>
    <w:qFormat/>
    <w:rsid w:val="00746450"/>
    <w:rPr/>
  </w:style>
  <w:style w:type="character" w:styleId="WW8Num18z0" w:customStyle="1">
    <w:name w:val="WW8Num18z0"/>
    <w:uiPriority w:val="99"/>
    <w:qFormat/>
    <w:rsid w:val="00746450"/>
    <w:rPr/>
  </w:style>
  <w:style w:type="character" w:styleId="WW8Num19z0" w:customStyle="1">
    <w:name w:val="WW8Num19z0"/>
    <w:uiPriority w:val="99"/>
    <w:qFormat/>
    <w:rsid w:val="00746450"/>
    <w:rPr>
      <w:rFonts w:ascii="Symbol" w:hAnsi="Symbol"/>
    </w:rPr>
  </w:style>
  <w:style w:type="character" w:styleId="WW8Num19z1" w:customStyle="1">
    <w:name w:val="WW8Num19z1"/>
    <w:uiPriority w:val="99"/>
    <w:qFormat/>
    <w:rsid w:val="00746450"/>
    <w:rPr/>
  </w:style>
  <w:style w:type="character" w:styleId="WW8Num20z0" w:customStyle="1">
    <w:name w:val="WW8Num20z0"/>
    <w:uiPriority w:val="99"/>
    <w:qFormat/>
    <w:rsid w:val="00746450"/>
    <w:rPr>
      <w:rFonts w:ascii="Wingdings" w:hAnsi="Wingdings"/>
    </w:rPr>
  </w:style>
  <w:style w:type="character" w:styleId="WW8Num21z0" w:customStyle="1">
    <w:name w:val="WW8Num21z0"/>
    <w:uiPriority w:val="99"/>
    <w:qFormat/>
    <w:rsid w:val="00746450"/>
    <w:rPr>
      <w:rFonts w:ascii="Symbol" w:hAnsi="Symbol"/>
    </w:rPr>
  </w:style>
  <w:style w:type="character" w:styleId="WW8Num22z0" w:customStyle="1">
    <w:name w:val="WW8Num22z0"/>
    <w:uiPriority w:val="99"/>
    <w:qFormat/>
    <w:rsid w:val="00746450"/>
    <w:rPr>
      <w:rFonts w:ascii="Symbol" w:hAnsi="Symbol"/>
    </w:rPr>
  </w:style>
  <w:style w:type="character" w:styleId="WW8Num22z1" w:customStyle="1">
    <w:name w:val="WW8Num22z1"/>
    <w:uiPriority w:val="99"/>
    <w:qFormat/>
    <w:rsid w:val="00746450"/>
    <w:rPr>
      <w:rFonts w:ascii="Courier New" w:hAnsi="Courier New"/>
    </w:rPr>
  </w:style>
  <w:style w:type="character" w:styleId="WW8Num22z2" w:customStyle="1">
    <w:name w:val="WW8Num22z2"/>
    <w:uiPriority w:val="99"/>
    <w:qFormat/>
    <w:rsid w:val="00746450"/>
    <w:rPr>
      <w:rFonts w:ascii="Wingdings" w:hAnsi="Wingdings"/>
    </w:rPr>
  </w:style>
  <w:style w:type="character" w:styleId="WW8Num23z0" w:customStyle="1">
    <w:name w:val="WW8Num23z0"/>
    <w:uiPriority w:val="99"/>
    <w:qFormat/>
    <w:rsid w:val="00746450"/>
    <w:rPr/>
  </w:style>
  <w:style w:type="character" w:styleId="WW8Num24z0" w:customStyle="1">
    <w:name w:val="WW8Num24z0"/>
    <w:uiPriority w:val="99"/>
    <w:qFormat/>
    <w:rsid w:val="00746450"/>
    <w:rPr/>
  </w:style>
  <w:style w:type="character" w:styleId="WW8Num25z0" w:customStyle="1">
    <w:name w:val="WW8Num25z0"/>
    <w:uiPriority w:val="99"/>
    <w:qFormat/>
    <w:rsid w:val="00746450"/>
    <w:rPr/>
  </w:style>
  <w:style w:type="character" w:styleId="Domylnaczcionkaakapitu1" w:customStyle="1">
    <w:name w:val="Domyślna czcionka akapitu1"/>
    <w:uiPriority w:val="99"/>
    <w:qFormat/>
    <w:rsid w:val="00746450"/>
    <w:rPr/>
  </w:style>
  <w:style w:type="character" w:styleId="Tekstpodstawowy2Znak" w:customStyle="1">
    <w:name w:val="Tekst podstawowy 2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styleId="TekstpodstawowyZnak" w:customStyle="1">
    <w:name w:val="Tekst podstawowy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styleId="apple-converted-space" w:customStyle="1">
    <w:name w:val="apple-converted-space"/>
    <w:qFormat/>
    <w:rsid w:val="00746450"/>
    <w:rPr>
      <w:rFonts w:cs="Times New Roman"/>
    </w:rPr>
  </w:style>
  <w:style w:type="character" w:styleId="TekstpodstawowyZnak1" w:customStyle="1">
    <w:name w:val="Tekst podstawowy Znak1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FontStyle22" w:customStyle="1">
    <w:name w:val="Font Style22"/>
    <w:qFormat/>
    <w:rsid w:val="00746450"/>
    <w:rPr>
      <w:rFonts w:ascii="Times New Roman" w:hAnsi="Times New Roman"/>
      <w:sz w:val="18"/>
    </w:rPr>
  </w:style>
  <w:style w:type="character" w:styleId="ZnakZnak5" w:customStyle="1">
    <w:name w:val="Znak Znak5"/>
    <w:uiPriority w:val="99"/>
    <w:qFormat/>
    <w:locked/>
    <w:rsid w:val="00746450"/>
    <w:rPr>
      <w:rFonts w:ascii="Arial" w:hAnsi="Arial"/>
      <w:b/>
      <w:kern w:val="2"/>
      <w:sz w:val="32"/>
      <w:lang w:val="pl-PL" w:eastAsia="pl-PL"/>
    </w:rPr>
  </w:style>
  <w:style w:type="character" w:styleId="Nagwek2Znak1" w:customStyle="1">
    <w:name w:val="Nagłówek 2 Znak1"/>
    <w:uiPriority w:val="99"/>
    <w:qFormat/>
    <w:locked/>
    <w:rsid w:val="00746450"/>
    <w:rPr>
      <w:rFonts w:ascii="Times Roman" w:hAnsi="Times Roman" w:eastAsia="Times New Roman" w:cs="Times New Roman"/>
      <w:b/>
      <w:sz w:val="40"/>
      <w:szCs w:val="20"/>
      <w:lang w:eastAsia="ar-SA"/>
    </w:rPr>
  </w:style>
  <w:style w:type="character" w:styleId="TekstpodstawowywcityZnak" w:customStyle="1">
    <w:name w:val="Tekst podstawowy wcięty Znak"/>
    <w:basedOn w:val="DefaultParagraphFont"/>
    <w:qFormat/>
    <w:rsid w:val="00746450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FontStyle23" w:customStyle="1">
    <w:name w:val="Font Style23"/>
    <w:qFormat/>
    <w:rsid w:val="00746450"/>
    <w:rPr/>
  </w:style>
  <w:style w:type="character" w:styleId="Hyperlink">
    <w:name w:val="Hyperlink"/>
    <w:uiPriority w:val="99"/>
    <w:semiHidden/>
    <w:unhideWhenUsed/>
    <w:rsid w:val="00746450"/>
    <w:rPr>
      <w:color w:val="0000FF"/>
      <w:u w:val="single"/>
    </w:rPr>
  </w:style>
  <w:style w:type="character" w:styleId="match" w:customStyle="1">
    <w:name w:val="match"/>
    <w:qFormat/>
    <w:rsid w:val="00746450"/>
    <w:rPr/>
  </w:style>
  <w:style w:type="character" w:styleId="Strong">
    <w:name w:val="Strong"/>
    <w:uiPriority w:val="22"/>
    <w:qFormat/>
    <w:rsid w:val="00746450"/>
    <w:rPr>
      <w:b/>
      <w:bCs/>
    </w:rPr>
  </w:style>
  <w:style w:type="character" w:styleId="Emphasis">
    <w:name w:val="Emphasis"/>
    <w:basedOn w:val="DefaultParagraphFont"/>
    <w:uiPriority w:val="20"/>
    <w:qFormat/>
    <w:rsid w:val="004e6ccd"/>
    <w:rPr>
      <w:i/>
      <w:i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1"/>
    <w:uiPriority w:val="99"/>
    <w:rsid w:val="00746450"/>
    <w:pPr>
      <w:suppressAutoHyphens w:val="true"/>
      <w:spacing w:lineRule="auto" w:line="276" w:before="0" w:after="120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List">
    <w:name w:val="List"/>
    <w:basedOn w:val="BodyText"/>
    <w:uiPriority w:val="99"/>
    <w:rsid w:val="00746450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uiPriority w:val="99"/>
    <w:qFormat/>
    <w:rsid w:val="00746450"/>
    <w:pPr>
      <w:suppressLineNumbers/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rsid w:val="00746450"/>
    <w:pPr>
      <w:keepNext w:val="true"/>
      <w:suppressAutoHyphens w:val="true"/>
      <w:spacing w:lineRule="auto" w:line="276" w:before="240" w:after="12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Signature">
    <w:name w:val="Signature"/>
    <w:basedOn w:val="Normal"/>
    <w:link w:val="PodpisZnak"/>
    <w:uiPriority w:val="99"/>
    <w:rsid w:val="00746450"/>
    <w:pPr>
      <w:suppressLineNumbers/>
      <w:suppressAutoHyphens w:val="true"/>
      <w:spacing w:lineRule="auto" w:line="276" w:before="120" w:after="12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Nagwek11" w:customStyle="1">
    <w:name w:val="Nagłówek 11"/>
    <w:basedOn w:val="Normal"/>
    <w:uiPriority w:val="99"/>
    <w:qFormat/>
    <w:rsid w:val="00746450"/>
    <w:pPr>
      <w:keepNext w:val="true"/>
      <w:widowControl w:val="false"/>
      <w:suppressAutoHyphens w:val="true"/>
      <w:spacing w:lineRule="auto" w:line="360" w:before="60" w:after="60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paragraph" w:styleId="Nagwek1" w:customStyle="1">
    <w:name w:val="Nagłówek1"/>
    <w:basedOn w:val="Normal"/>
    <w:uiPriority w:val="99"/>
    <w:qFormat/>
    <w:rsid w:val="00746450"/>
    <w:pPr>
      <w:keepNext w:val="true"/>
      <w:suppressAutoHyphens w:val="true"/>
      <w:spacing w:lineRule="auto" w:line="276" w:before="240" w:after="120"/>
    </w:pPr>
    <w:rPr>
      <w:rFonts w:ascii="Arial" w:hAnsi="Arial" w:eastAsia="Times New Roman" w:cs="Arial"/>
      <w:sz w:val="28"/>
      <w:szCs w:val="28"/>
      <w:lang w:eastAsia="zh-CN"/>
    </w:rPr>
  </w:style>
  <w:style w:type="paragraph" w:styleId="Lista1" w:customStyle="1">
    <w:name w:val="Lista1"/>
    <w:basedOn w:val="BodyText"/>
    <w:uiPriority w:val="99"/>
    <w:qFormat/>
    <w:rsid w:val="00746450"/>
    <w:pPr/>
    <w:rPr/>
  </w:style>
  <w:style w:type="paragraph" w:styleId="Podpis1" w:customStyle="1">
    <w:name w:val="Podpis1"/>
    <w:basedOn w:val="Normal"/>
    <w:uiPriority w:val="99"/>
    <w:qFormat/>
    <w:rsid w:val="00746450"/>
    <w:pPr>
      <w:suppressLineNumbers/>
      <w:suppressAutoHyphens w:val="true"/>
      <w:spacing w:lineRule="auto" w:line="276" w:before="120" w:after="120"/>
    </w:pPr>
    <w:rPr>
      <w:rFonts w:ascii="Times New Roman" w:hAnsi="Times New Roman" w:eastAsia="SimSun" w:cs="Times New Roman"/>
      <w:i/>
      <w:iCs/>
      <w:sz w:val="24"/>
      <w:szCs w:val="24"/>
      <w:lang w:eastAsia="zh-CN"/>
    </w:rPr>
  </w:style>
  <w:style w:type="paragraph" w:styleId="BodyTextIndented">
    <w:name w:val="Body Text, Indented"/>
    <w:basedOn w:val="Normal"/>
    <w:link w:val="TekstpodstawowywcityZnak"/>
    <w:qFormat/>
    <w:rsid w:val="00746450"/>
    <w:pPr>
      <w:spacing w:lineRule="auto" w:line="240" w:before="0" w:after="120"/>
      <w:ind w:hanging="0" w:left="283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AnnotationText">
    <w:name w:val="Annotation Text"/>
    <w:basedOn w:val="Normal"/>
    <w:link w:val="TekstkomentarzaZnak"/>
    <w:uiPriority w:val="99"/>
    <w:semiHidden/>
    <w:qFormat/>
    <w:rsid w:val="00746450"/>
    <w:pPr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0"/>
      <w:szCs w:val="20"/>
      <w:lang w:eastAsia="zh-CN"/>
    </w:rPr>
  </w:style>
  <w:style w:type="paragraph" w:styleId="annotationsubject">
    <w:name w:val="annotation subject"/>
    <w:basedOn w:val="AnnotationText"/>
    <w:link w:val="TematkomentarzaZnak"/>
    <w:uiPriority w:val="99"/>
    <w:semiHidden/>
    <w:qFormat/>
    <w:rsid w:val="00746450"/>
    <w:pPr/>
    <w:rPr>
      <w:b/>
    </w:rPr>
  </w:style>
  <w:style w:type="paragraph" w:styleId="BalloonText">
    <w:name w:val="Balloon Text"/>
    <w:basedOn w:val="Normal"/>
    <w:link w:val="TekstdymkaZnak"/>
    <w:uiPriority w:val="99"/>
    <w:semiHidden/>
    <w:qFormat/>
    <w:rsid w:val="00746450"/>
    <w:pPr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"/>
      <w:szCs w:val="20"/>
      <w:lang w:eastAsia="zh-CN"/>
    </w:rPr>
  </w:style>
  <w:style w:type="paragraph" w:styleId="Tytu1" w:customStyle="1">
    <w:name w:val="Tytuł1"/>
    <w:basedOn w:val="Normal"/>
    <w:uiPriority w:val="99"/>
    <w:qFormat/>
    <w:rsid w:val="00746450"/>
    <w:pPr>
      <w:suppressAutoHyphens w:val="true"/>
      <w:spacing w:lineRule="auto" w:line="276" w:before="0" w:after="20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paragraph" w:styleId="NoSpacing">
    <w:name w:val="No Spacing"/>
    <w:uiPriority w:val="1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Times New Roman"/>
      <w:color w:val="auto"/>
      <w:kern w:val="0"/>
      <w:sz w:val="24"/>
      <w:szCs w:val="24"/>
      <w:lang w:val="pl-PL" w:eastAsia="zh-CN" w:bidi="ar-SA"/>
    </w:rPr>
  </w:style>
  <w:style w:type="paragraph" w:styleId="Footer">
    <w:name w:val="Footer"/>
    <w:basedOn w:val="Normal"/>
    <w:link w:val="StopkaZnak1"/>
    <w:uiPriority w:val="99"/>
    <w:rsid w:val="00746450"/>
    <w:pPr>
      <w:tabs>
        <w:tab w:val="clear" w:pos="708"/>
        <w:tab w:val="center" w:pos="4536" w:leader="none"/>
        <w:tab w:val="right" w:pos="9072" w:leader="none"/>
      </w:tabs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Akapitzlist1" w:customStyle="1">
    <w:name w:val="Akapit z listą1"/>
    <w:basedOn w:val="Normal"/>
    <w:uiPriority w:val="99"/>
    <w:qFormat/>
    <w:rsid w:val="00746450"/>
    <w:pPr>
      <w:spacing w:lineRule="auto" w:line="276" w:before="0" w:after="200"/>
      <w:ind w:hanging="0" w:left="720"/>
    </w:pPr>
    <w:rPr>
      <w:rFonts w:ascii="Calibri" w:hAnsi="Calibri" w:eastAsia="Times New Roman" w:cs="Calibri"/>
      <w:lang w:val="en-US" w:eastAsia="ar-SA"/>
    </w:rPr>
  </w:style>
  <w:style w:type="paragraph" w:styleId="Bezodstpw1" w:customStyle="1">
    <w:name w:val="Bez odstępów1"/>
    <w:uiPriority w:val="99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Calibri"/>
      <w:color w:val="auto"/>
      <w:kern w:val="0"/>
      <w:sz w:val="24"/>
      <w:szCs w:val="24"/>
      <w:lang w:val="pl-PL" w:eastAsia="ar-SA" w:bidi="ar-SA"/>
    </w:rPr>
  </w:style>
  <w:style w:type="paragraph" w:styleId="Tekstpodstawowy21" w:customStyle="1">
    <w:name w:val="Tekst podstawowy 21"/>
    <w:basedOn w:val="Normal"/>
    <w:uiPriority w:val="99"/>
    <w:qFormat/>
    <w:rsid w:val="00746450"/>
    <w:pPr>
      <w:spacing w:lineRule="auto" w:line="240" w:before="0" w:after="0"/>
    </w:pPr>
    <w:rPr>
      <w:rFonts w:ascii="Times New Roman" w:hAnsi="Times New Roman" w:eastAsia="Times New Roman" w:cs="Calibri"/>
      <w:sz w:val="24"/>
      <w:szCs w:val="24"/>
      <w:lang w:eastAsia="ar-SA"/>
    </w:rPr>
  </w:style>
  <w:style w:type="paragraph" w:styleId="Default" w:customStyle="1">
    <w:name w:val="Default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Calibri"/>
      <w:color w:val="000000"/>
      <w:kern w:val="0"/>
      <w:sz w:val="24"/>
      <w:szCs w:val="24"/>
      <w:lang w:val="pl-PL" w:eastAsia="ar-SA" w:bidi="ar-SA"/>
    </w:rPr>
  </w:style>
  <w:style w:type="paragraph" w:styleId="Tekstpodstawowy1" w:customStyle="1">
    <w:name w:val="Tekst podstawowy1"/>
    <w:basedOn w:val="Normal"/>
    <w:uiPriority w:val="99"/>
    <w:qFormat/>
    <w:rsid w:val="00746450"/>
    <w:pPr>
      <w:spacing w:lineRule="auto" w:line="240" w:before="0" w:after="120"/>
    </w:pPr>
    <w:rPr>
      <w:rFonts w:ascii="Times New Roman" w:hAnsi="Times New Roman" w:eastAsia="Times New Roman" w:cs="Calibri"/>
      <w:sz w:val="24"/>
      <w:szCs w:val="24"/>
      <w:lang w:eastAsia="ar-SA"/>
    </w:rPr>
  </w:style>
  <w:style w:type="paragraph" w:styleId="Zawartotabeli" w:customStyle="1">
    <w:name w:val="Zawartość tabeli"/>
    <w:basedOn w:val="Normal"/>
    <w:uiPriority w:val="99"/>
    <w:qFormat/>
    <w:rsid w:val="00746450"/>
    <w:pPr>
      <w:suppressLineNumbers/>
      <w:suppressAutoHyphens w:val="true"/>
      <w:spacing w:lineRule="auto" w:line="276" w:before="0" w:after="200"/>
    </w:pPr>
    <w:rPr>
      <w:rFonts w:ascii="Times New Roman" w:hAnsi="Times New Roman" w:eastAsia="SimSun" w:cs="Calibri"/>
      <w:sz w:val="24"/>
      <w:szCs w:val="24"/>
      <w:lang w:eastAsia="ar-SA"/>
    </w:rPr>
  </w:style>
  <w:style w:type="paragraph" w:styleId="Nagwektabeli" w:customStyle="1">
    <w:name w:val="Nagłówek tabeli"/>
    <w:basedOn w:val="Zawartotabeli"/>
    <w:uiPriority w:val="99"/>
    <w:qFormat/>
    <w:rsid w:val="00746450"/>
    <w:pPr>
      <w:jc w:val="center"/>
    </w:pPr>
    <w:rPr>
      <w:b/>
      <w:bCs/>
    </w:rPr>
  </w:style>
  <w:style w:type="paragraph" w:styleId="Style13" w:customStyle="1">
    <w:name w:val="Style13"/>
    <w:basedOn w:val="Normal"/>
    <w:qFormat/>
    <w:rsid w:val="00746450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18" w:customStyle="1">
    <w:name w:val="Style18"/>
    <w:basedOn w:val="Normal"/>
    <w:qFormat/>
    <w:rsid w:val="00746450"/>
    <w:pPr>
      <w:widowControl w:val="false"/>
      <w:spacing w:lineRule="exact" w:line="229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81" w:customStyle="1">
    <w:name w:val="Style8"/>
    <w:basedOn w:val="Normal"/>
    <w:qFormat/>
    <w:rsid w:val="00746450"/>
    <w:pPr>
      <w:widowControl w:val="false"/>
      <w:suppressAutoHyphens w:val="true"/>
      <w:spacing w:lineRule="exact" w:line="274" w:before="0" w:after="0"/>
      <w:jc w:val="both"/>
    </w:pPr>
    <w:rPr>
      <w:rFonts w:ascii="Times New Roman" w:hAnsi="Times New Roman" w:eastAsia="Times New Roman" w:cs="Times New Roman"/>
      <w:sz w:val="24"/>
      <w:szCs w:val="24"/>
      <w:lang w:eastAsia="zh-CN"/>
    </w:rPr>
  </w:style>
  <w:style w:type="paragraph" w:styleId="Akapitzlist2" w:customStyle="1">
    <w:name w:val="Akapit z listą2"/>
    <w:basedOn w:val="Normal"/>
    <w:qFormat/>
    <w:rsid w:val="00746450"/>
    <w:pPr>
      <w:spacing w:lineRule="auto" w:line="276" w:before="0" w:after="200"/>
      <w:ind w:hanging="0" w:left="720"/>
      <w:contextualSpacing/>
    </w:pPr>
    <w:rPr>
      <w:rFonts w:ascii="Calibri" w:hAnsi="Calibri" w:eastAsia="Calibri" w:cs="Times New Roman"/>
      <w:lang w:eastAsia="pl-PL"/>
    </w:rPr>
  </w:style>
  <w:style w:type="paragraph" w:styleId="NormalWeb">
    <w:name w:val="Normal (Web)"/>
    <w:basedOn w:val="Normal"/>
    <w:uiPriority w:val="99"/>
    <w:unhideWhenUsed/>
    <w:qFormat/>
    <w:rsid w:val="0074645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ListParagraph">
    <w:name w:val="List Paragraph"/>
    <w:basedOn w:val="Normal"/>
    <w:qFormat/>
    <w:rsid w:val="00576660"/>
    <w:pPr>
      <w:spacing w:before="0" w:after="160"/>
      <w:ind w:hanging="0" w:left="720"/>
      <w:contextualSpacing/>
    </w:pPr>
    <w:rPr/>
  </w:style>
  <w:style w:type="paragraph" w:styleId="Standard" w:customStyle="1">
    <w:name w:val="Standard"/>
    <w:qFormat/>
    <w:rsid w:val="00824625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numbering" w:styleId="Bezlisty" w:default="1">
    <w:name w:val="Bez listy"/>
    <w:uiPriority w:val="99"/>
    <w:semiHidden/>
    <w:unhideWhenUsed/>
    <w:qFormat/>
  </w:style>
  <w:style w:type="numbering" w:styleId="Bezlisty1" w:customStyle="1">
    <w:name w:val="Bez listy1"/>
    <w:semiHidden/>
    <w:unhideWhenUsed/>
    <w:qFormat/>
    <w:rsid w:val="00746450"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rsid w:val="00746450"/>
    <w:pPr>
      <w:spacing w:after="0" w:line="240" w:lineRule="auto"/>
    </w:pPr>
    <w:rPr>
      <w:lang w:eastAsia="pl-PL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13024-FCF7-4264-915E-45D02F6BE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Application>LibreOffice/24.2.5.2$Windows_X86_64 LibreOffice_project/bffef4ea93e59bebbeaf7f431bb02b1a39ee8a59</Application>
  <AppVersion>15.0000</AppVersion>
  <DocSecurity>0</DocSecurity>
  <Pages>4</Pages>
  <Words>1220</Words>
  <Characters>8786</Characters>
  <CharactersWithSpaces>9811</CharactersWithSpaces>
  <Paragraphs>211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2021-10-20T22:39:00Z</dcterms:created>
  <dc:creator>Ela</dc:creator>
  <dc:description/>
  <dc:language>pl-PL</dc:language>
  <cp:lastModifiedBy/>
  <cp:lastPrinted>2022-09-21T07:32:00Z</cp:lastPrinted>
  <dcterms:modified xsi:type="dcterms:W3CDTF">2026-04-17T16:14:43Z</dcterms:modified>
  <cp:revision>365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